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仿宋" w:hAnsi="华文仿宋" w:eastAsia="华文仿宋" w:cs="华文仿宋"/>
          <w:sz w:val="32"/>
          <w:szCs w:val="32"/>
        </w:rPr>
      </w:pPr>
      <w:bookmarkStart w:id="0" w:name="_GoBack"/>
      <w:r>
        <w:rPr>
          <w:rFonts w:hint="eastAsia" w:ascii="华文仿宋" w:hAnsi="华文仿宋" w:eastAsia="华文仿宋" w:cs="华文仿宋"/>
          <w:sz w:val="32"/>
          <w:szCs w:val="32"/>
        </w:rPr>
        <w:t>中南财经政法大学研究生学位论文双盲评审办法</w:t>
      </w:r>
    </w:p>
    <w:bookmarkEnd w:id="0"/>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（2010年9月28日第一次修订、2016年6月30日第二次修订、</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2017年6月20日第三次修订、2018年6月15日第四次修订）</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为了保证和提高研究生学位论文质量，建立健全学位与研究生教育质量保证和监督体系，保证研究生学位论文评审过程的严谨性和规范性，完善学位申请和评审程序，结合我校实际情况，特制定本办法。</w:t>
      </w:r>
    </w:p>
    <w:p>
      <w:pPr>
        <w:rPr>
          <w:rFonts w:hint="eastAsia" w:ascii="华文仿宋" w:hAnsi="华文仿宋" w:eastAsia="华文仿宋" w:cs="华文仿宋"/>
          <w:sz w:val="28"/>
          <w:szCs w:val="28"/>
        </w:rPr>
      </w:pPr>
    </w:p>
    <w:p>
      <w:pPr>
        <w:numPr>
          <w:ilvl w:val="0"/>
          <w:numId w:val="1"/>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本办法的指导思想是，以评审促进研究生学位论文质量提升，切实保证研究生学位论文评价的科学性、客观性与公正性，提高学校学位与研究生教育的整体水平。</w:t>
      </w:r>
    </w:p>
    <w:p>
      <w:pPr>
        <w:numPr>
          <w:numId w:val="0"/>
        </w:numPr>
        <w:rPr>
          <w:rFonts w:hint="eastAsia" w:ascii="华文仿宋" w:hAnsi="华文仿宋" w:eastAsia="华文仿宋" w:cs="华文仿宋"/>
          <w:sz w:val="28"/>
          <w:szCs w:val="28"/>
        </w:rPr>
      </w:pPr>
    </w:p>
    <w:p>
      <w:pPr>
        <w:numPr>
          <w:ilvl w:val="0"/>
          <w:numId w:val="1"/>
        </w:numPr>
        <w:ind w:left="0" w:leftChars="0" w:firstLine="0" w:firstLineChars="0"/>
        <w:rPr>
          <w:rFonts w:hint="eastAsia" w:ascii="华文仿宋" w:hAnsi="华文仿宋" w:eastAsia="华文仿宋" w:cs="华文仿宋"/>
          <w:sz w:val="28"/>
          <w:szCs w:val="28"/>
        </w:rPr>
      </w:pPr>
      <w:r>
        <w:rPr>
          <w:rFonts w:hint="eastAsia" w:ascii="华文仿宋" w:hAnsi="华文仿宋" w:eastAsia="华文仿宋" w:cs="华文仿宋"/>
          <w:sz w:val="28"/>
          <w:szCs w:val="28"/>
        </w:rPr>
        <w:t>本办法所称的双盲评审，是指将评阅人姓名对研究生学位论文作者及其导师隐匿，且将研究生学位论文作者及其导师姓名对评阅人隐匿而进行的评审工作（以下简称“双盲评审”）。</w:t>
      </w:r>
    </w:p>
    <w:p>
      <w:pPr>
        <w:numPr>
          <w:numId w:val="0"/>
        </w:numPr>
        <w:ind w:leftChars="0"/>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第三条　管理机构及其工作人员应承担以下职责：</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（一）校学位评定委员会办公室(以下简称“学位办”)在校学位评定委员会领导下，负责对各培养单位研究生学位论文双盲评审工作进行组织、监督、检查及协调工作。</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（二）各培养单位根据学校工作要求，在学位评定分委员会领导下，由主管研究生工作的单位负责人组织研究生工作秘书等相关人员，负责研究生学位论文双盲评审的有关具体工作。</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第四条　双盲评审专家的资格确认与专家库的建立应遵循以下准则：</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（一）研究生学位论文双盲评审专家，须为相关专业的教授、副教授或具有相当专业技术职务的校外专家，且这些专家原则上应为在岗的博士、硕士研究生指导教师。</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校外专家原则上由学位办委托教育部学位与研究生教育评估工作平台（以下简称“评估平台”）和外单位研究生管理部门推荐聘请，并建立研究生学位论文双盲评审专家库。导师组对本专业的校外专家存疑者，可通过所在单位的学位评定分委员会向校学位办提出异议或建议。校学位办可根据实际情况对相应建议名单进行适当调整；如遇特殊情况，应向校学位评定委员会主席会议报告并由主席会议决定。</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第五条　申请双盲评审者应具备以下资格：</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（一）经研究生院培养与督导办公室（以下简称“培养办”）审核，研究生已通过毕业资格审核。</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（二）经培养单位审查，研究生已完成学位论文,获得研究生本人的论文指导教师及其所在导师组审核认可，且通过学位论文预答辩和学术不端行为检测（后简称“查重”）的，具备申请论文答辩资格。</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第六条　双盲评审工作应遵循以下程序：</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各培养单位在规定时间内将此次申请答辩的研究生名单及有关材料，报送至学位办和培养办；经审核合格后，培养办将此次具备毕业资格的研究生名单交送学位办，在此名单之外的研究生不得参加学校此次论文答辩及学位申请程序。以培养办和培养单位所报送名单为基础，学位办随机抽取并确定参加双盲评审的研究生名单。</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（二）博士学位论文除有特殊规定外，全部实行双盲评审；硕士学位论文按二级学科抽取不低于30%的比例参加双盲评审。超过基本学制的研究生，所撰写的学位论文全部实行双盲评审。</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留学生和港、澳、台学生的学位论文评审参照《中南财经政法大学学位授予工作办法》和《中南财经政法大学外国留学研究生培养与学位管理实施办法》相关规定执行。</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三）参加双盲评审的学位论文（以下简称“参评论文”），由所属培养单位汇总后，按规定做好双盲评审前期的材料准备工作，务必在指定日期前报送到学位办。在双盲评审前，参评论文的指导教师可以提出应回避评阅本人本次所指导学位论文的专家名单（限3人以内）。</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四）学位办按要求向评估平台报送相关材料，依据相关学科专业及研究领域，随机抽取并联系相关高校或科研院所，由评估平台根据我校的基本要求确定并送交相关专家学者进行双盲评审。每篇参评论文至少由3名校外专家进行双盲评审。</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五）各培养单位须在参评论文的评阅书全部返回，且双盲评审结果为合格之后,方可安排研究生参加答辩。专家评阅书不能在规定时间内及时返回的，学位办应通过评估平台追加同等数量的专家进行双盲评审。学位办对全部评阅书完成必要的匿名保密处理后，方可提供给各培养单位组织论文答辩。</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第七条　对双盲评审结果依照下列办法进行分类和处理：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（一）结果分类</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专家评阅书中的论文评审得分（以下简称“S”）≥85分者，为优秀；75分≤S&lt;85分者,为良好；60分≤S&lt;75分者，为合格；S&lt;60分者，为不合格。</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（二）结果处理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1.3份专家评阅书评审结果均为合格及以上的,为双盲评审合格，可以参加此次论文答辩。</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有1份专家评审结果为不合格，另2份合格评审结果的平均分达75分（中文项目国际学生的应达70分）及以上的，学位办为该论文开展第二次双盲评审（以下简称“复评”）。复评合格的，参加当年的论文答辩；复评仍不合格的，须对论文进行修改,推迟半年再申请答辩。</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3.有2份专家评阅书的评审结果为不合格的,须对论文进行重大修改，推迟1年再申请答辩。</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4.如果3份专家评阅书的评审结果均为不合格，则应重新开题写作论文，推迟至少一年再申请答辩。</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未通过双盲评审的论文，经修改后须重新参加查重、双盲评审，方能进入论文答辩程序。</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第八条  不符合第七条(二）2项复评条件，且仅有1份专家评审结果为不合格，达到下列要求之一的，论文作者可通过学位分委员会向校学位办申请复评：</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1.评审结果最高分与最低分之间的分差达40分及以上。</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2.不合格评审意见专家所在二级学科（后称“专家所在学科”）与参评论文所属二级学科（后称“论文所属学科”）不一致。二级学科“不一致”的认定，原则上以国家下发的《授予博士、硕士学位和培养研究生的学科、专业目录》(1997颁布)和《学位授予和人才培养学科目录》（2011年版）为准；学校自设二级学科学位论文按照所在一级学科为准；专业硕士学位论文原则上按其对应的学科门类和专业学位领域进行认定。</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3.评阅书的主体评价与最后评分或结论明显不一致。</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论文作者须在盲评结果公布后一周内向校学位办提出复评申请，校学位办将所收到申请向校学位委员会主席会议报告。校学位委员会主席会议同意申请、且论文通过复评的，参加当年答辩；不同意复评或者复评未通过的，须对论文进行修改,推迟半年再申请答辩。</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第九条  学位论文双盲评审以“导师全覆盖”为原则，以四年为一个工作周期，全面检验导师队伍的研究生指导能力。</w:t>
      </w:r>
    </w:p>
    <w:p>
      <w:pPr>
        <w:ind w:firstLine="560"/>
        <w:rPr>
          <w:rFonts w:hint="eastAsia" w:ascii="华文仿宋" w:hAnsi="华文仿宋" w:eastAsia="华文仿宋" w:cs="华文仿宋"/>
          <w:sz w:val="28"/>
          <w:szCs w:val="28"/>
        </w:rPr>
      </w:pPr>
      <w:r>
        <w:rPr>
          <w:rFonts w:hint="eastAsia" w:ascii="华文仿宋" w:hAnsi="华文仿宋" w:eastAsia="华文仿宋" w:cs="华文仿宋"/>
          <w:sz w:val="28"/>
          <w:szCs w:val="28"/>
        </w:rPr>
        <w:t>前三年，学位办随机抽取并确定参加双盲评审的研究生学位论文名单；第四年，学位办对前三年双盲评审开展情况进行统计，形成前三年所指导论文未参加过双盲评审的导师名单。该名单中导师所指导的全部研究生学位论文须在第四年无条件参加双盲评审。</w:t>
      </w:r>
    </w:p>
    <w:p>
      <w:pPr>
        <w:ind w:firstLine="560"/>
        <w:rPr>
          <w:rFonts w:hint="eastAsia" w:ascii="华文仿宋" w:hAnsi="华文仿宋" w:eastAsia="华文仿宋" w:cs="华文仿宋"/>
          <w:sz w:val="28"/>
          <w:szCs w:val="28"/>
        </w:rPr>
      </w:pPr>
    </w:p>
    <w:p>
      <w:pPr>
        <w:numPr>
          <w:ilvl w:val="0"/>
          <w:numId w:val="2"/>
        </w:numPr>
        <w:rPr>
          <w:rFonts w:hint="eastAsia" w:ascii="华文仿宋" w:hAnsi="华文仿宋" w:eastAsia="华文仿宋" w:cs="华文仿宋"/>
          <w:sz w:val="28"/>
          <w:szCs w:val="28"/>
        </w:rPr>
      </w:pPr>
      <w:r>
        <w:rPr>
          <w:rFonts w:hint="eastAsia" w:ascii="华文仿宋" w:hAnsi="华文仿宋" w:eastAsia="华文仿宋" w:cs="华文仿宋"/>
          <w:sz w:val="28"/>
          <w:szCs w:val="28"/>
        </w:rPr>
        <w:t xml:space="preserve"> 在当次双盲评审中存在指导学位论文未通过的导师，在下一轮申请学位时所指导的全部研究生学位论文须无条件参加双盲评审。</w:t>
      </w:r>
    </w:p>
    <w:p>
      <w:pPr>
        <w:widowControl w:val="0"/>
        <w:numPr>
          <w:numId w:val="0"/>
        </w:numPr>
        <w:jc w:val="both"/>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第十一条  三年内无研究生学位论文未通过双盲评审，且累计有两年指导研究生学位论文均能首轮通过评审（即不含增评通过）、且评审结果平均分达80分的导师，自达标下一年起两年内所指导研究生学位论文免于参加双盲评审。</w:t>
      </w:r>
    </w:p>
    <w:p>
      <w:pPr>
        <w:rPr>
          <w:rFonts w:hint="eastAsia" w:ascii="华文仿宋" w:hAnsi="华文仿宋" w:eastAsia="华文仿宋" w:cs="华文仿宋"/>
          <w:sz w:val="28"/>
          <w:szCs w:val="28"/>
        </w:rPr>
      </w:pP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第十二条   附则</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（一）涉密的研究生学位论文双盲评审工作，须由导师组提出不少于8名双盲评审专家的建议名单，经培养单位学位评定分委员会同意后，报送研究生院批准。</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（二）参加双盲评审的论文不再参加学位论文同行专家通讯评阅。</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（三）研究生及其他相关人员不得干扰学位论文评审工作的正常进行。如有违反，将严肃处理，直至取消学位申请资格。</w:t>
      </w:r>
    </w:p>
    <w:p>
      <w:pPr>
        <w:rPr>
          <w:rFonts w:hint="eastAsia" w:ascii="华文仿宋" w:hAnsi="华文仿宋" w:eastAsia="华文仿宋" w:cs="华文仿宋"/>
          <w:sz w:val="28"/>
          <w:szCs w:val="28"/>
        </w:rPr>
      </w:pPr>
      <w:r>
        <w:rPr>
          <w:rFonts w:hint="eastAsia" w:ascii="华文仿宋" w:hAnsi="华文仿宋" w:eastAsia="华文仿宋" w:cs="华文仿宋"/>
          <w:sz w:val="28"/>
          <w:szCs w:val="28"/>
        </w:rPr>
        <w:t>（四）本办法自公布之日起实行,第一个评审工作周期自2018年1月1日开始计算。此前公布的其它文件与本办法不一致的，以本办法为准。本办法由校学位评定委员会负责解释。</w:t>
      </w:r>
    </w:p>
    <w:p>
      <w:pPr>
        <w:rPr>
          <w:rFonts w:hint="eastAsia"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B44327"/>
    <w:multiLevelType w:val="singleLevel"/>
    <w:tmpl w:val="A2B44327"/>
    <w:lvl w:ilvl="0" w:tentative="0">
      <w:start w:val="10"/>
      <w:numFmt w:val="chineseCounting"/>
      <w:suff w:val="space"/>
      <w:lvlText w:val="第%1条"/>
      <w:lvlJc w:val="left"/>
      <w:rPr>
        <w:rFonts w:hint="eastAsia"/>
      </w:rPr>
    </w:lvl>
  </w:abstractNum>
  <w:abstractNum w:abstractNumId="1">
    <w:nsid w:val="E395F99A"/>
    <w:multiLevelType w:val="singleLevel"/>
    <w:tmpl w:val="E395F99A"/>
    <w:lvl w:ilvl="0" w:tentative="0">
      <w:start w:val="1"/>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86F0D"/>
    <w:rsid w:val="00777CB3"/>
    <w:rsid w:val="008A4943"/>
    <w:rsid w:val="008D510D"/>
    <w:rsid w:val="021E6F7F"/>
    <w:rsid w:val="023730E4"/>
    <w:rsid w:val="032C687F"/>
    <w:rsid w:val="03330EDE"/>
    <w:rsid w:val="03483196"/>
    <w:rsid w:val="03667008"/>
    <w:rsid w:val="045504EF"/>
    <w:rsid w:val="04777E7D"/>
    <w:rsid w:val="04861011"/>
    <w:rsid w:val="050D689C"/>
    <w:rsid w:val="05205CA8"/>
    <w:rsid w:val="05584B4A"/>
    <w:rsid w:val="05F25E4C"/>
    <w:rsid w:val="06B116B0"/>
    <w:rsid w:val="07182914"/>
    <w:rsid w:val="07A2016E"/>
    <w:rsid w:val="08BF1872"/>
    <w:rsid w:val="08E6609B"/>
    <w:rsid w:val="093F61D9"/>
    <w:rsid w:val="0A074313"/>
    <w:rsid w:val="0B8D7378"/>
    <w:rsid w:val="0B955363"/>
    <w:rsid w:val="0BC86ED3"/>
    <w:rsid w:val="0C0E223E"/>
    <w:rsid w:val="0C2E4434"/>
    <w:rsid w:val="0C9D06E0"/>
    <w:rsid w:val="0CFB735C"/>
    <w:rsid w:val="0D5B548F"/>
    <w:rsid w:val="0DB91C1D"/>
    <w:rsid w:val="0DE06D1D"/>
    <w:rsid w:val="0E5E4603"/>
    <w:rsid w:val="0E697DEB"/>
    <w:rsid w:val="0E721C92"/>
    <w:rsid w:val="0F206C01"/>
    <w:rsid w:val="0F493BF4"/>
    <w:rsid w:val="0FA7247D"/>
    <w:rsid w:val="102F4289"/>
    <w:rsid w:val="12160653"/>
    <w:rsid w:val="128F1C83"/>
    <w:rsid w:val="131C0CE1"/>
    <w:rsid w:val="13224507"/>
    <w:rsid w:val="13401F36"/>
    <w:rsid w:val="134E7550"/>
    <w:rsid w:val="134F75C8"/>
    <w:rsid w:val="13D822A6"/>
    <w:rsid w:val="140B65B1"/>
    <w:rsid w:val="14F53F1C"/>
    <w:rsid w:val="15017477"/>
    <w:rsid w:val="15703E5B"/>
    <w:rsid w:val="15802D7E"/>
    <w:rsid w:val="16C4621D"/>
    <w:rsid w:val="1708376B"/>
    <w:rsid w:val="1722534C"/>
    <w:rsid w:val="172E0038"/>
    <w:rsid w:val="18A53152"/>
    <w:rsid w:val="18CF74C1"/>
    <w:rsid w:val="19920367"/>
    <w:rsid w:val="1A61456D"/>
    <w:rsid w:val="1AF54C0E"/>
    <w:rsid w:val="1B8B59CA"/>
    <w:rsid w:val="1B8E463F"/>
    <w:rsid w:val="1B917FAE"/>
    <w:rsid w:val="1C8E01D3"/>
    <w:rsid w:val="1CC44E84"/>
    <w:rsid w:val="1D092C46"/>
    <w:rsid w:val="1D506A66"/>
    <w:rsid w:val="1D9350A3"/>
    <w:rsid w:val="1DCE16FC"/>
    <w:rsid w:val="1E1931F3"/>
    <w:rsid w:val="1E957AB3"/>
    <w:rsid w:val="1EBA5374"/>
    <w:rsid w:val="1F200801"/>
    <w:rsid w:val="1F321BBF"/>
    <w:rsid w:val="1FD943C7"/>
    <w:rsid w:val="211C7B19"/>
    <w:rsid w:val="21956E86"/>
    <w:rsid w:val="21F84409"/>
    <w:rsid w:val="224A17C1"/>
    <w:rsid w:val="22B319CF"/>
    <w:rsid w:val="22B35D22"/>
    <w:rsid w:val="22F058AA"/>
    <w:rsid w:val="22FB3C52"/>
    <w:rsid w:val="231914AD"/>
    <w:rsid w:val="23B11CF7"/>
    <w:rsid w:val="23D32412"/>
    <w:rsid w:val="23E01797"/>
    <w:rsid w:val="241B5B8E"/>
    <w:rsid w:val="244017F2"/>
    <w:rsid w:val="25005684"/>
    <w:rsid w:val="26505100"/>
    <w:rsid w:val="268043CF"/>
    <w:rsid w:val="268D2352"/>
    <w:rsid w:val="27C12F45"/>
    <w:rsid w:val="282E3D38"/>
    <w:rsid w:val="2957036D"/>
    <w:rsid w:val="29670909"/>
    <w:rsid w:val="29A63295"/>
    <w:rsid w:val="29B1359E"/>
    <w:rsid w:val="29D82F76"/>
    <w:rsid w:val="2A567E05"/>
    <w:rsid w:val="2A5A3089"/>
    <w:rsid w:val="2A87167C"/>
    <w:rsid w:val="2AFD2C1A"/>
    <w:rsid w:val="2B8D46E7"/>
    <w:rsid w:val="2B935D1E"/>
    <w:rsid w:val="2C0F4B0B"/>
    <w:rsid w:val="2C673777"/>
    <w:rsid w:val="2C722C60"/>
    <w:rsid w:val="2C79663A"/>
    <w:rsid w:val="2CD13524"/>
    <w:rsid w:val="2D0B3BD0"/>
    <w:rsid w:val="2D113E90"/>
    <w:rsid w:val="2DBA0040"/>
    <w:rsid w:val="2DDA7805"/>
    <w:rsid w:val="2E6E0839"/>
    <w:rsid w:val="2E9A4ED6"/>
    <w:rsid w:val="2EC151EC"/>
    <w:rsid w:val="2F9002B8"/>
    <w:rsid w:val="2F985DFF"/>
    <w:rsid w:val="2FB41D7D"/>
    <w:rsid w:val="302024A1"/>
    <w:rsid w:val="302A3CD7"/>
    <w:rsid w:val="302E4B17"/>
    <w:rsid w:val="309377A1"/>
    <w:rsid w:val="30F8526C"/>
    <w:rsid w:val="313C27C5"/>
    <w:rsid w:val="3169348E"/>
    <w:rsid w:val="31F319E3"/>
    <w:rsid w:val="32B72A1D"/>
    <w:rsid w:val="32C0444C"/>
    <w:rsid w:val="33054333"/>
    <w:rsid w:val="330678EE"/>
    <w:rsid w:val="335209C4"/>
    <w:rsid w:val="339A7AB5"/>
    <w:rsid w:val="33A21B00"/>
    <w:rsid w:val="33C74AAE"/>
    <w:rsid w:val="33EF68D1"/>
    <w:rsid w:val="343E0A88"/>
    <w:rsid w:val="34D61B62"/>
    <w:rsid w:val="36EF0792"/>
    <w:rsid w:val="370E0E05"/>
    <w:rsid w:val="374635D4"/>
    <w:rsid w:val="37666B46"/>
    <w:rsid w:val="38126633"/>
    <w:rsid w:val="38263063"/>
    <w:rsid w:val="38345C08"/>
    <w:rsid w:val="383D4218"/>
    <w:rsid w:val="38852CF5"/>
    <w:rsid w:val="38C95DBD"/>
    <w:rsid w:val="38FA1049"/>
    <w:rsid w:val="3987768F"/>
    <w:rsid w:val="39DC4454"/>
    <w:rsid w:val="3A403FBC"/>
    <w:rsid w:val="3A87201C"/>
    <w:rsid w:val="3AC1766E"/>
    <w:rsid w:val="3B9A26A4"/>
    <w:rsid w:val="3C726D00"/>
    <w:rsid w:val="3D3235EB"/>
    <w:rsid w:val="3D6A75C2"/>
    <w:rsid w:val="3DA252C9"/>
    <w:rsid w:val="3E5D33A3"/>
    <w:rsid w:val="3E8C5A40"/>
    <w:rsid w:val="3EF232A3"/>
    <w:rsid w:val="3FE11614"/>
    <w:rsid w:val="3FF05F90"/>
    <w:rsid w:val="405E5FB5"/>
    <w:rsid w:val="407F5B8E"/>
    <w:rsid w:val="41105F9A"/>
    <w:rsid w:val="414833E0"/>
    <w:rsid w:val="41A00127"/>
    <w:rsid w:val="41ED743C"/>
    <w:rsid w:val="41F63FF3"/>
    <w:rsid w:val="42874FB0"/>
    <w:rsid w:val="42D57522"/>
    <w:rsid w:val="433946AE"/>
    <w:rsid w:val="43513410"/>
    <w:rsid w:val="436B2356"/>
    <w:rsid w:val="43BB36BB"/>
    <w:rsid w:val="43FC2EC2"/>
    <w:rsid w:val="43FD606C"/>
    <w:rsid w:val="44C00B5C"/>
    <w:rsid w:val="44CC280E"/>
    <w:rsid w:val="458E4DEC"/>
    <w:rsid w:val="460C4D8E"/>
    <w:rsid w:val="4651442F"/>
    <w:rsid w:val="46EE2071"/>
    <w:rsid w:val="470B6530"/>
    <w:rsid w:val="476D6B83"/>
    <w:rsid w:val="4781480B"/>
    <w:rsid w:val="48BF1098"/>
    <w:rsid w:val="492875D5"/>
    <w:rsid w:val="49837CE5"/>
    <w:rsid w:val="4AA010C0"/>
    <w:rsid w:val="4AAE7E15"/>
    <w:rsid w:val="4ABF409A"/>
    <w:rsid w:val="4ADB7E69"/>
    <w:rsid w:val="4B127E11"/>
    <w:rsid w:val="4BC30F4C"/>
    <w:rsid w:val="4C3C612F"/>
    <w:rsid w:val="4C62340A"/>
    <w:rsid w:val="4C8B0B5C"/>
    <w:rsid w:val="4C9C63E2"/>
    <w:rsid w:val="4CA157DC"/>
    <w:rsid w:val="4DAC16C8"/>
    <w:rsid w:val="4DBB6042"/>
    <w:rsid w:val="4E2204AB"/>
    <w:rsid w:val="4E300486"/>
    <w:rsid w:val="4E7A1B76"/>
    <w:rsid w:val="4FAC6322"/>
    <w:rsid w:val="51793BBB"/>
    <w:rsid w:val="519502A3"/>
    <w:rsid w:val="51983B4C"/>
    <w:rsid w:val="526C6D13"/>
    <w:rsid w:val="52733AE0"/>
    <w:rsid w:val="52F500AA"/>
    <w:rsid w:val="538809D6"/>
    <w:rsid w:val="53DF570B"/>
    <w:rsid w:val="544924A0"/>
    <w:rsid w:val="54C46B0B"/>
    <w:rsid w:val="54CA1AA1"/>
    <w:rsid w:val="55530A77"/>
    <w:rsid w:val="55A019C2"/>
    <w:rsid w:val="55C3134F"/>
    <w:rsid w:val="55EC0CE6"/>
    <w:rsid w:val="56BF507B"/>
    <w:rsid w:val="5711046B"/>
    <w:rsid w:val="573B72F4"/>
    <w:rsid w:val="57691899"/>
    <w:rsid w:val="57966861"/>
    <w:rsid w:val="57A26ABA"/>
    <w:rsid w:val="5928061B"/>
    <w:rsid w:val="59C8259B"/>
    <w:rsid w:val="59D97D3C"/>
    <w:rsid w:val="5A3665B5"/>
    <w:rsid w:val="5A46012A"/>
    <w:rsid w:val="5A4803D9"/>
    <w:rsid w:val="5A6D1F15"/>
    <w:rsid w:val="5A807DA2"/>
    <w:rsid w:val="5B08297B"/>
    <w:rsid w:val="5C0526A1"/>
    <w:rsid w:val="5C692331"/>
    <w:rsid w:val="5C9A5408"/>
    <w:rsid w:val="5F830735"/>
    <w:rsid w:val="60AC527D"/>
    <w:rsid w:val="612A7401"/>
    <w:rsid w:val="617C0732"/>
    <w:rsid w:val="61C863FD"/>
    <w:rsid w:val="624F4848"/>
    <w:rsid w:val="632B11E8"/>
    <w:rsid w:val="633C580C"/>
    <w:rsid w:val="63604E9F"/>
    <w:rsid w:val="646D14F5"/>
    <w:rsid w:val="64E84DC8"/>
    <w:rsid w:val="64F92207"/>
    <w:rsid w:val="655E3C51"/>
    <w:rsid w:val="658D217F"/>
    <w:rsid w:val="65984272"/>
    <w:rsid w:val="67435992"/>
    <w:rsid w:val="67B50BC7"/>
    <w:rsid w:val="67BE7E25"/>
    <w:rsid w:val="67C13F39"/>
    <w:rsid w:val="67E22ACF"/>
    <w:rsid w:val="687F7193"/>
    <w:rsid w:val="694070C5"/>
    <w:rsid w:val="6A0562AE"/>
    <w:rsid w:val="6A5D1F35"/>
    <w:rsid w:val="6AC22D50"/>
    <w:rsid w:val="6B8660DD"/>
    <w:rsid w:val="6BCB58DB"/>
    <w:rsid w:val="6C3C3439"/>
    <w:rsid w:val="6C8C4B27"/>
    <w:rsid w:val="6D0F031F"/>
    <w:rsid w:val="6D6D7238"/>
    <w:rsid w:val="6D761006"/>
    <w:rsid w:val="6DA86F75"/>
    <w:rsid w:val="6E220428"/>
    <w:rsid w:val="6E4E7738"/>
    <w:rsid w:val="6E88593E"/>
    <w:rsid w:val="6E8F6C08"/>
    <w:rsid w:val="6EC9044F"/>
    <w:rsid w:val="6F3A0A1E"/>
    <w:rsid w:val="6FC4078C"/>
    <w:rsid w:val="6FF029B9"/>
    <w:rsid w:val="6FFB0A72"/>
    <w:rsid w:val="703310A8"/>
    <w:rsid w:val="70445242"/>
    <w:rsid w:val="70634157"/>
    <w:rsid w:val="7077729C"/>
    <w:rsid w:val="70C22086"/>
    <w:rsid w:val="71DC7D02"/>
    <w:rsid w:val="721E651D"/>
    <w:rsid w:val="722D2E01"/>
    <w:rsid w:val="72DE3726"/>
    <w:rsid w:val="72F50FFB"/>
    <w:rsid w:val="73BF2B97"/>
    <w:rsid w:val="73ED7491"/>
    <w:rsid w:val="74941F80"/>
    <w:rsid w:val="74B44D19"/>
    <w:rsid w:val="74DE1B83"/>
    <w:rsid w:val="74E967B3"/>
    <w:rsid w:val="754B1ACF"/>
    <w:rsid w:val="75B27B3A"/>
    <w:rsid w:val="75C30216"/>
    <w:rsid w:val="75E247A4"/>
    <w:rsid w:val="75EB180E"/>
    <w:rsid w:val="765920F3"/>
    <w:rsid w:val="767509E6"/>
    <w:rsid w:val="775161B5"/>
    <w:rsid w:val="77C75AA9"/>
    <w:rsid w:val="78806F0B"/>
    <w:rsid w:val="79193422"/>
    <w:rsid w:val="79DD73A9"/>
    <w:rsid w:val="7AAC7AB0"/>
    <w:rsid w:val="7B2775B7"/>
    <w:rsid w:val="7B785504"/>
    <w:rsid w:val="7C7F7819"/>
    <w:rsid w:val="7C8F134C"/>
    <w:rsid w:val="7CB9748F"/>
    <w:rsid w:val="7D3207A8"/>
    <w:rsid w:val="7E0A060C"/>
    <w:rsid w:val="7E6953DB"/>
    <w:rsid w:val="7ED009C3"/>
    <w:rsid w:val="7FDE2B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姜倩倩</dc:creator>
  <cp:lastModifiedBy>姜倩倩</cp:lastModifiedBy>
  <dcterms:modified xsi:type="dcterms:W3CDTF">2019-12-23T02:52:07Z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