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44"/>
          <w:szCs w:val="44"/>
          <w:lang w:val="en-US" w:eastAsia="zh-CN" w:bidi="ar"/>
        </w:rPr>
        <w:t>结项操作及审核流程</w:t>
      </w:r>
      <w:bookmarkEnd w:id="0"/>
    </w:p>
    <w:p>
      <w:pPr>
        <w:numPr>
          <w:numId w:val="0"/>
        </w:numPr>
        <w:ind w:firstLine="620" w:firstLineChars="200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一、科研信息服务系统网址：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instrText xml:space="preserve"> HYPERLINK "http://kyxt.zuel.edu.cn" </w:instrTex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separate"/>
      </w:r>
      <w:r>
        <w:rPr>
          <w:rStyle w:val="4"/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http://kyxt.zuel.edu.cn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fldChar w:fldCharType="end"/>
      </w:r>
    </w:p>
    <w:p>
      <w:pPr>
        <w:numPr>
          <w:numId w:val="0"/>
        </w:numP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帐号密码：帐号、密码与统一身份认证帐号密码一致。</w:t>
      </w:r>
    </w:p>
    <w:p>
      <w:pPr>
        <w:widowControl w:val="0"/>
        <w:numPr>
          <w:numId w:val="0"/>
        </w:numPr>
        <w:ind w:leftChars="0" w:firstLine="620" w:firstLineChars="20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二、操作流程：</w:t>
      </w:r>
    </w:p>
    <w:p>
      <w:pPr>
        <w:widowControl w:val="0"/>
        <w:numPr>
          <w:numId w:val="0"/>
        </w:numPr>
        <w:ind w:leftChars="0" w:firstLine="620" w:firstLineChars="20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（一）登录后，请申请结项的负责人在“我的项目”中查询已有的基本科研业务费项目，点击“项目结项”，提交结项申请书（如下图）。</w:t>
      </w:r>
    </w:p>
    <w:p>
      <w:pPr>
        <w:widowControl w:val="0"/>
        <w:numPr>
          <w:numId w:val="0"/>
        </w:numPr>
        <w:ind w:leftChars="0"/>
        <w:jc w:val="both"/>
      </w:pPr>
      <w:r>
        <w:drawing>
          <wp:inline distT="0" distB="0" distL="114300" distR="114300">
            <wp:extent cx="5483225" cy="3832225"/>
            <wp:effectExtent l="0" t="0" r="3175" b="158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 w:firstLine="620" w:firstLineChars="200"/>
        <w:jc w:val="both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（二）进入结项页面后，填写结项日期、上传结项文档，选择结项方式，保存即可（见下图）。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drawing>
          <wp:inline distT="0" distB="0" distL="114300" distR="114300">
            <wp:extent cx="5306060" cy="3466465"/>
            <wp:effectExtent l="0" t="0" r="8890" b="63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606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firstLine="620" w:firstLineChars="20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三、审核流程：</w:t>
      </w: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   项目管理员可以在【项目结项】中【待审核结项】看到结项项目，点击【审核】。</w:t>
      </w:r>
    </w:p>
    <w:p>
      <w:pPr>
        <w:widowControl w:val="0"/>
        <w:numPr>
          <w:numId w:val="0"/>
        </w:numPr>
        <w:ind w:leftChars="0"/>
        <w:jc w:val="both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drawing>
          <wp:inline distT="0" distB="0" distL="114300" distR="114300">
            <wp:extent cx="5193030" cy="2778760"/>
            <wp:effectExtent l="0" t="0" r="7620" b="254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widowControl w:val="0"/>
        <w:numPr>
          <w:numId w:val="0"/>
        </w:numPr>
        <w:jc w:val="both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Courier Prim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Prime">
    <w:panose1 w:val="02000409000000000000"/>
    <w:charset w:val="00"/>
    <w:family w:val="auto"/>
    <w:pitch w:val="default"/>
    <w:sig w:usb0="A000002F" w:usb1="5000004B" w:usb2="00000000" w:usb3="00000000" w:csb0="2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13E51"/>
    <w:rsid w:val="23C1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2020-11-13T06:50:00Z</dcterms:created>
  <dc:creator>   亚群 .h </dc:creator>
  <cp:lastModifiedBy>   亚群 .h </cp:lastModifiedBy>
  <dcterms:modified xsi:type="dcterms:W3CDTF">2020-11-13T07:15:06Z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