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jc w:val="left"/>
        <w:rPr>
          <w:rFonts w:hint="eastAsia"/>
          <w:color w:val="2D374B"/>
          <w:sz w:val="21"/>
          <w:szCs w:val="21"/>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jc w:val="left"/>
        <w:rPr>
          <w:rFonts w:hint="eastAsia"/>
          <w:color w:val="2D374B"/>
          <w:sz w:val="21"/>
          <w:szCs w:val="21"/>
          <w:lang w:val="en-US" w:eastAsia="zh-CN"/>
        </w:rPr>
      </w:pPr>
    </w:p>
    <w:p>
      <w:pPr>
        <w:spacing w:line="400" w:lineRule="exact"/>
        <w:ind w:firstLine="320" w:firstLineChars="100"/>
        <w:jc w:val="center"/>
        <w:rPr>
          <w:rFonts w:hint="eastAsia" w:ascii="宋体" w:hAnsi="宋体" w:cs="宋体"/>
          <w:sz w:val="32"/>
          <w:szCs w:val="32"/>
        </w:rPr>
      </w:pPr>
      <w:r>
        <w:rPr>
          <w:rFonts w:hint="eastAsia" w:ascii="宋体" w:hAnsi="宋体" w:cs="宋体"/>
          <w:sz w:val="32"/>
          <w:szCs w:val="32"/>
        </w:rPr>
        <w:t>工商管理学院博士研究生中期考核评分表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380"/>
        <w:gridCol w:w="1515"/>
        <w:gridCol w:w="2055"/>
        <w:gridCol w:w="1860"/>
        <w:gridCol w:w="1800"/>
        <w:gridCol w:w="1845"/>
        <w:gridCol w:w="1839"/>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485" w:type="dxa"/>
            <w:noWrap w:val="0"/>
            <w:vAlign w:val="center"/>
          </w:tcPr>
          <w:p>
            <w:pPr>
              <w:jc w:val="center"/>
              <w:rPr>
                <w:rFonts w:hint="eastAsia"/>
              </w:rPr>
            </w:pPr>
            <w:r>
              <w:rPr>
                <w:rFonts w:hint="eastAsia"/>
              </w:rPr>
              <w:t>姓   名</w:t>
            </w:r>
          </w:p>
        </w:tc>
        <w:tc>
          <w:tcPr>
            <w:tcW w:w="1380" w:type="dxa"/>
            <w:noWrap w:val="0"/>
            <w:vAlign w:val="center"/>
          </w:tcPr>
          <w:p>
            <w:pPr>
              <w:jc w:val="center"/>
              <w:rPr>
                <w:rFonts w:hint="eastAsia"/>
              </w:rPr>
            </w:pPr>
            <w:r>
              <w:rPr>
                <w:rFonts w:hint="eastAsia"/>
              </w:rPr>
              <w:t>笔试成绩</w:t>
            </w:r>
          </w:p>
          <w:p>
            <w:pPr>
              <w:jc w:val="center"/>
              <w:rPr>
                <w:rFonts w:hint="eastAsia"/>
              </w:rPr>
            </w:pPr>
            <w:r>
              <w:rPr>
                <w:rFonts w:hint="eastAsia"/>
              </w:rPr>
              <w:t>（30分）</w:t>
            </w:r>
          </w:p>
        </w:tc>
        <w:tc>
          <w:tcPr>
            <w:tcW w:w="1515" w:type="dxa"/>
            <w:noWrap w:val="0"/>
            <w:vAlign w:val="center"/>
          </w:tcPr>
          <w:p>
            <w:pPr>
              <w:jc w:val="center"/>
              <w:rPr>
                <w:rFonts w:hint="eastAsia"/>
              </w:rPr>
            </w:pPr>
            <w:r>
              <w:rPr>
                <w:rFonts w:hint="eastAsia"/>
              </w:rPr>
              <w:t>论著发表</w:t>
            </w:r>
          </w:p>
          <w:p>
            <w:pPr>
              <w:jc w:val="center"/>
              <w:rPr>
                <w:rFonts w:hint="eastAsia"/>
              </w:rPr>
            </w:pPr>
            <w:r>
              <w:rPr>
                <w:rFonts w:hint="eastAsia"/>
              </w:rPr>
              <w:t>（20分）</w:t>
            </w:r>
          </w:p>
        </w:tc>
        <w:tc>
          <w:tcPr>
            <w:tcW w:w="2055" w:type="dxa"/>
            <w:noWrap w:val="0"/>
            <w:vAlign w:val="center"/>
          </w:tcPr>
          <w:p>
            <w:pPr>
              <w:jc w:val="center"/>
              <w:rPr>
                <w:rFonts w:hint="eastAsia"/>
              </w:rPr>
            </w:pPr>
            <w:r>
              <w:rPr>
                <w:rFonts w:hint="eastAsia"/>
              </w:rPr>
              <w:t>文献综述与研究报告撰写（20分）</w:t>
            </w:r>
          </w:p>
        </w:tc>
        <w:tc>
          <w:tcPr>
            <w:tcW w:w="1860" w:type="dxa"/>
            <w:noWrap w:val="0"/>
            <w:vAlign w:val="center"/>
          </w:tcPr>
          <w:p>
            <w:pPr>
              <w:jc w:val="center"/>
              <w:rPr>
                <w:rFonts w:hint="eastAsia"/>
              </w:rPr>
            </w:pPr>
            <w:r>
              <w:rPr>
                <w:rFonts w:hint="eastAsia"/>
              </w:rPr>
              <w:t>分析与解决问题能力（10分）</w:t>
            </w:r>
          </w:p>
        </w:tc>
        <w:tc>
          <w:tcPr>
            <w:tcW w:w="1800" w:type="dxa"/>
            <w:noWrap w:val="0"/>
            <w:vAlign w:val="center"/>
          </w:tcPr>
          <w:p>
            <w:pPr>
              <w:jc w:val="center"/>
              <w:rPr>
                <w:rFonts w:hint="eastAsia"/>
              </w:rPr>
            </w:pPr>
            <w:r>
              <w:rPr>
                <w:rFonts w:hint="eastAsia"/>
              </w:rPr>
              <w:t>未来研究设想的可行性（10分）</w:t>
            </w:r>
          </w:p>
        </w:tc>
        <w:tc>
          <w:tcPr>
            <w:tcW w:w="1845" w:type="dxa"/>
            <w:noWrap w:val="0"/>
            <w:vAlign w:val="center"/>
          </w:tcPr>
          <w:p>
            <w:pPr>
              <w:jc w:val="center"/>
              <w:rPr>
                <w:rFonts w:hint="eastAsia"/>
              </w:rPr>
            </w:pPr>
            <w:r>
              <w:rPr>
                <w:rFonts w:hint="eastAsia"/>
              </w:rPr>
              <w:t>口头与书面表达能力（10分）</w:t>
            </w:r>
          </w:p>
        </w:tc>
        <w:tc>
          <w:tcPr>
            <w:tcW w:w="1839" w:type="dxa"/>
            <w:noWrap w:val="0"/>
            <w:vAlign w:val="center"/>
          </w:tcPr>
          <w:p>
            <w:pPr>
              <w:jc w:val="center"/>
              <w:rPr>
                <w:rFonts w:hint="eastAsia"/>
              </w:rPr>
            </w:pPr>
            <w:r>
              <w:rPr>
                <w:rFonts w:hint="eastAsia"/>
              </w:rPr>
              <w:t>总  分</w:t>
            </w:r>
          </w:p>
          <w:p>
            <w:pPr>
              <w:jc w:val="center"/>
              <w:rPr>
                <w:rFonts w:hint="eastAsia"/>
              </w:rPr>
            </w:pPr>
            <w:r>
              <w:rPr>
                <w:rFonts w:hint="eastAsia"/>
              </w:rPr>
              <w:t>（100分）</w:t>
            </w:r>
          </w:p>
        </w:tc>
        <w:tc>
          <w:tcPr>
            <w:tcW w:w="1580" w:type="dxa"/>
            <w:noWrap w:val="0"/>
            <w:vAlign w:val="center"/>
          </w:tcPr>
          <w:p>
            <w:pPr>
              <w:jc w:val="center"/>
              <w:rPr>
                <w:rFonts w:hint="eastAsia"/>
                <w:lang w:val="en-US" w:eastAsia="zh-CN"/>
              </w:rPr>
            </w:pPr>
          </w:p>
          <w:p>
            <w:pPr>
              <w:jc w:val="center"/>
              <w:rPr>
                <w:rFonts w:hint="eastAsia"/>
                <w:lang w:val="en-US" w:eastAsia="zh-CN"/>
              </w:rPr>
            </w:pPr>
            <w:r>
              <w:rPr>
                <w:rFonts w:hint="eastAsia"/>
                <w:lang w:val="en-US" w:eastAsia="zh-CN"/>
              </w:rPr>
              <w:t>考核等级</w:t>
            </w:r>
          </w:p>
          <w:p>
            <w:pPr>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485" w:type="dxa"/>
            <w:noWrap w:val="0"/>
            <w:vAlign w:val="top"/>
          </w:tcPr>
          <w:p>
            <w:pPr>
              <w:rPr>
                <w:rFonts w:hint="eastAsia"/>
                <w:sz w:val="28"/>
                <w:szCs w:val="28"/>
              </w:rPr>
            </w:pPr>
            <w:bookmarkStart w:id="0" w:name="_GoBack"/>
            <w:bookmarkEnd w:id="0"/>
          </w:p>
        </w:tc>
        <w:tc>
          <w:tcPr>
            <w:tcW w:w="1380" w:type="dxa"/>
            <w:noWrap w:val="0"/>
            <w:vAlign w:val="top"/>
          </w:tcPr>
          <w:p>
            <w:pPr>
              <w:rPr>
                <w:rFonts w:hint="eastAsia"/>
                <w:sz w:val="28"/>
                <w:szCs w:val="28"/>
              </w:rPr>
            </w:pPr>
          </w:p>
        </w:tc>
        <w:tc>
          <w:tcPr>
            <w:tcW w:w="1515" w:type="dxa"/>
            <w:noWrap w:val="0"/>
            <w:vAlign w:val="top"/>
          </w:tcPr>
          <w:p>
            <w:pPr>
              <w:rPr>
                <w:rFonts w:hint="eastAsia"/>
                <w:sz w:val="28"/>
                <w:szCs w:val="28"/>
              </w:rPr>
            </w:pPr>
          </w:p>
        </w:tc>
        <w:tc>
          <w:tcPr>
            <w:tcW w:w="2055" w:type="dxa"/>
            <w:noWrap w:val="0"/>
            <w:vAlign w:val="top"/>
          </w:tcPr>
          <w:p>
            <w:pPr>
              <w:rPr>
                <w:rFonts w:hint="eastAsia"/>
                <w:sz w:val="28"/>
                <w:szCs w:val="28"/>
              </w:rPr>
            </w:pPr>
          </w:p>
        </w:tc>
        <w:tc>
          <w:tcPr>
            <w:tcW w:w="1860" w:type="dxa"/>
            <w:noWrap w:val="0"/>
            <w:vAlign w:val="top"/>
          </w:tcPr>
          <w:p>
            <w:pPr>
              <w:rPr>
                <w:rFonts w:hint="eastAsia"/>
                <w:sz w:val="28"/>
                <w:szCs w:val="28"/>
              </w:rPr>
            </w:pPr>
          </w:p>
        </w:tc>
        <w:tc>
          <w:tcPr>
            <w:tcW w:w="1800" w:type="dxa"/>
            <w:noWrap w:val="0"/>
            <w:vAlign w:val="top"/>
          </w:tcPr>
          <w:p>
            <w:pPr>
              <w:rPr>
                <w:rFonts w:hint="eastAsia"/>
                <w:sz w:val="28"/>
                <w:szCs w:val="28"/>
              </w:rPr>
            </w:pPr>
          </w:p>
        </w:tc>
        <w:tc>
          <w:tcPr>
            <w:tcW w:w="1845" w:type="dxa"/>
            <w:noWrap w:val="0"/>
            <w:vAlign w:val="top"/>
          </w:tcPr>
          <w:p>
            <w:pPr>
              <w:rPr>
                <w:rFonts w:hint="eastAsia"/>
                <w:sz w:val="28"/>
                <w:szCs w:val="28"/>
              </w:rPr>
            </w:pPr>
          </w:p>
        </w:tc>
        <w:tc>
          <w:tcPr>
            <w:tcW w:w="1839" w:type="dxa"/>
            <w:noWrap w:val="0"/>
            <w:vAlign w:val="top"/>
          </w:tcPr>
          <w:p>
            <w:pPr>
              <w:rPr>
                <w:rFonts w:hint="eastAsia"/>
                <w:sz w:val="28"/>
                <w:szCs w:val="28"/>
              </w:rPr>
            </w:pPr>
          </w:p>
        </w:tc>
        <w:tc>
          <w:tcPr>
            <w:tcW w:w="1580" w:type="dxa"/>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5" w:type="dxa"/>
            <w:noWrap w:val="0"/>
            <w:vAlign w:val="top"/>
          </w:tcPr>
          <w:p>
            <w:pPr>
              <w:rPr>
                <w:rFonts w:hint="eastAsia"/>
                <w:sz w:val="28"/>
                <w:szCs w:val="28"/>
              </w:rPr>
            </w:pPr>
          </w:p>
        </w:tc>
        <w:tc>
          <w:tcPr>
            <w:tcW w:w="1380" w:type="dxa"/>
            <w:noWrap w:val="0"/>
            <w:vAlign w:val="top"/>
          </w:tcPr>
          <w:p>
            <w:pPr>
              <w:rPr>
                <w:rFonts w:hint="eastAsia"/>
                <w:sz w:val="28"/>
                <w:szCs w:val="28"/>
              </w:rPr>
            </w:pPr>
          </w:p>
        </w:tc>
        <w:tc>
          <w:tcPr>
            <w:tcW w:w="1515" w:type="dxa"/>
            <w:noWrap w:val="0"/>
            <w:vAlign w:val="top"/>
          </w:tcPr>
          <w:p>
            <w:pPr>
              <w:rPr>
                <w:rFonts w:hint="eastAsia"/>
                <w:sz w:val="28"/>
                <w:szCs w:val="28"/>
              </w:rPr>
            </w:pPr>
          </w:p>
        </w:tc>
        <w:tc>
          <w:tcPr>
            <w:tcW w:w="2055" w:type="dxa"/>
            <w:noWrap w:val="0"/>
            <w:vAlign w:val="top"/>
          </w:tcPr>
          <w:p>
            <w:pPr>
              <w:rPr>
                <w:rFonts w:hint="eastAsia"/>
                <w:sz w:val="28"/>
                <w:szCs w:val="28"/>
              </w:rPr>
            </w:pPr>
          </w:p>
        </w:tc>
        <w:tc>
          <w:tcPr>
            <w:tcW w:w="1860" w:type="dxa"/>
            <w:noWrap w:val="0"/>
            <w:vAlign w:val="top"/>
          </w:tcPr>
          <w:p>
            <w:pPr>
              <w:rPr>
                <w:rFonts w:hint="eastAsia"/>
                <w:sz w:val="28"/>
                <w:szCs w:val="28"/>
              </w:rPr>
            </w:pPr>
          </w:p>
        </w:tc>
        <w:tc>
          <w:tcPr>
            <w:tcW w:w="1800" w:type="dxa"/>
            <w:noWrap w:val="0"/>
            <w:vAlign w:val="top"/>
          </w:tcPr>
          <w:p>
            <w:pPr>
              <w:rPr>
                <w:rFonts w:hint="eastAsia"/>
                <w:sz w:val="28"/>
                <w:szCs w:val="28"/>
              </w:rPr>
            </w:pPr>
          </w:p>
        </w:tc>
        <w:tc>
          <w:tcPr>
            <w:tcW w:w="1845" w:type="dxa"/>
            <w:noWrap w:val="0"/>
            <w:vAlign w:val="top"/>
          </w:tcPr>
          <w:p>
            <w:pPr>
              <w:rPr>
                <w:rFonts w:hint="eastAsia"/>
                <w:sz w:val="28"/>
                <w:szCs w:val="28"/>
              </w:rPr>
            </w:pPr>
          </w:p>
        </w:tc>
        <w:tc>
          <w:tcPr>
            <w:tcW w:w="1839" w:type="dxa"/>
            <w:noWrap w:val="0"/>
            <w:vAlign w:val="top"/>
          </w:tcPr>
          <w:p>
            <w:pPr>
              <w:rPr>
                <w:rFonts w:hint="eastAsia"/>
                <w:sz w:val="28"/>
                <w:szCs w:val="28"/>
              </w:rPr>
            </w:pPr>
          </w:p>
        </w:tc>
        <w:tc>
          <w:tcPr>
            <w:tcW w:w="1580" w:type="dxa"/>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5" w:type="dxa"/>
            <w:noWrap w:val="0"/>
            <w:vAlign w:val="top"/>
          </w:tcPr>
          <w:p>
            <w:pPr>
              <w:rPr>
                <w:rFonts w:hint="eastAsia"/>
                <w:sz w:val="28"/>
                <w:szCs w:val="28"/>
              </w:rPr>
            </w:pPr>
          </w:p>
        </w:tc>
        <w:tc>
          <w:tcPr>
            <w:tcW w:w="1380" w:type="dxa"/>
            <w:noWrap w:val="0"/>
            <w:vAlign w:val="top"/>
          </w:tcPr>
          <w:p>
            <w:pPr>
              <w:rPr>
                <w:rFonts w:hint="eastAsia"/>
                <w:sz w:val="28"/>
                <w:szCs w:val="28"/>
              </w:rPr>
            </w:pPr>
          </w:p>
        </w:tc>
        <w:tc>
          <w:tcPr>
            <w:tcW w:w="1515" w:type="dxa"/>
            <w:noWrap w:val="0"/>
            <w:vAlign w:val="top"/>
          </w:tcPr>
          <w:p>
            <w:pPr>
              <w:rPr>
                <w:rFonts w:hint="eastAsia"/>
                <w:sz w:val="28"/>
                <w:szCs w:val="28"/>
              </w:rPr>
            </w:pPr>
          </w:p>
        </w:tc>
        <w:tc>
          <w:tcPr>
            <w:tcW w:w="2055" w:type="dxa"/>
            <w:noWrap w:val="0"/>
            <w:vAlign w:val="top"/>
          </w:tcPr>
          <w:p>
            <w:pPr>
              <w:rPr>
                <w:rFonts w:hint="eastAsia"/>
                <w:sz w:val="28"/>
                <w:szCs w:val="28"/>
              </w:rPr>
            </w:pPr>
          </w:p>
        </w:tc>
        <w:tc>
          <w:tcPr>
            <w:tcW w:w="1860" w:type="dxa"/>
            <w:noWrap w:val="0"/>
            <w:vAlign w:val="top"/>
          </w:tcPr>
          <w:p>
            <w:pPr>
              <w:rPr>
                <w:rFonts w:hint="eastAsia"/>
                <w:sz w:val="28"/>
                <w:szCs w:val="28"/>
              </w:rPr>
            </w:pPr>
          </w:p>
        </w:tc>
        <w:tc>
          <w:tcPr>
            <w:tcW w:w="1800" w:type="dxa"/>
            <w:noWrap w:val="0"/>
            <w:vAlign w:val="top"/>
          </w:tcPr>
          <w:p>
            <w:pPr>
              <w:rPr>
                <w:rFonts w:hint="eastAsia"/>
                <w:sz w:val="28"/>
                <w:szCs w:val="28"/>
              </w:rPr>
            </w:pPr>
          </w:p>
        </w:tc>
        <w:tc>
          <w:tcPr>
            <w:tcW w:w="1845" w:type="dxa"/>
            <w:noWrap w:val="0"/>
            <w:vAlign w:val="top"/>
          </w:tcPr>
          <w:p>
            <w:pPr>
              <w:rPr>
                <w:rFonts w:hint="eastAsia"/>
                <w:sz w:val="28"/>
                <w:szCs w:val="28"/>
              </w:rPr>
            </w:pPr>
          </w:p>
        </w:tc>
        <w:tc>
          <w:tcPr>
            <w:tcW w:w="1839" w:type="dxa"/>
            <w:noWrap w:val="0"/>
            <w:vAlign w:val="top"/>
          </w:tcPr>
          <w:p>
            <w:pPr>
              <w:rPr>
                <w:rFonts w:hint="eastAsia"/>
                <w:sz w:val="28"/>
                <w:szCs w:val="28"/>
              </w:rPr>
            </w:pPr>
          </w:p>
        </w:tc>
        <w:tc>
          <w:tcPr>
            <w:tcW w:w="1580" w:type="dxa"/>
            <w:noWrap w:val="0"/>
            <w:vAlign w:val="top"/>
          </w:tcPr>
          <w:p>
            <w:pPr>
              <w:rPr>
                <w:rFonts w:hint="eastAsia"/>
                <w:sz w:val="28"/>
                <w:szCs w:val="28"/>
              </w:rPr>
            </w:pPr>
          </w:p>
        </w:tc>
      </w:tr>
    </w:tbl>
    <w:p>
      <w:pPr>
        <w:ind w:firstLine="240" w:firstLineChars="100"/>
        <w:rPr>
          <w:rFonts w:hint="eastAsia"/>
          <w:sz w:val="24"/>
        </w:rPr>
      </w:pPr>
    </w:p>
    <w:p>
      <w:pPr>
        <w:ind w:firstLine="240" w:firstLineChars="100"/>
        <w:rPr>
          <w:rFonts w:hint="eastAsia"/>
          <w:sz w:val="24"/>
        </w:rPr>
      </w:pPr>
      <w:r>
        <w:rPr>
          <w:rFonts w:hint="eastAsia"/>
          <w:sz w:val="24"/>
        </w:rPr>
        <w:t>注：</w:t>
      </w:r>
    </w:p>
    <w:p>
      <w:pPr>
        <w:numPr>
          <w:ilvl w:val="0"/>
          <w:numId w:val="1"/>
        </w:numPr>
        <w:rPr>
          <w:rFonts w:hint="eastAsia" w:ascii="宋体" w:hAnsi="宋体" w:eastAsia="宋体" w:cs="宋体"/>
          <w:sz w:val="21"/>
          <w:szCs w:val="21"/>
        </w:rPr>
      </w:pPr>
      <w:r>
        <w:rPr>
          <w:rFonts w:hint="eastAsia" w:ascii="宋体" w:hAnsi="宋体" w:eastAsia="宋体" w:cs="宋体"/>
          <w:sz w:val="21"/>
          <w:szCs w:val="21"/>
        </w:rPr>
        <w:t>笔试成绩：笔试成绩由研究生院根据现有成绩库导出，不再单独组织考试。高级微观经济学、高级宏观经济学、高级计量经济学、研究方法和一级学科经典文献等五个部分考试由研究生院按一级学科统一组织，考试成绩以研究生院提供成绩为准；专业经典文献的考试由学院按</w:t>
      </w:r>
      <w:r>
        <w:rPr>
          <w:rFonts w:hint="eastAsia" w:ascii="宋体" w:hAnsi="宋体" w:eastAsia="宋体" w:cs="宋体"/>
          <w:sz w:val="21"/>
          <w:szCs w:val="21"/>
          <w:lang w:val="en-US" w:eastAsia="zh-CN"/>
        </w:rPr>
        <w:t>专业</w:t>
      </w:r>
      <w:r>
        <w:rPr>
          <w:rFonts w:hint="eastAsia" w:ascii="宋体" w:hAnsi="宋体" w:eastAsia="宋体" w:cs="宋体"/>
          <w:sz w:val="21"/>
          <w:szCs w:val="21"/>
        </w:rPr>
        <w:t>组织，考试成绩以</w:t>
      </w:r>
      <w:r>
        <w:rPr>
          <w:rFonts w:hint="eastAsia" w:ascii="宋体" w:hAnsi="宋体" w:eastAsia="宋体" w:cs="宋体"/>
          <w:sz w:val="21"/>
          <w:szCs w:val="21"/>
          <w:lang w:val="en-US" w:eastAsia="zh-CN"/>
        </w:rPr>
        <w:t>学院研究生工作办公室</w:t>
      </w:r>
      <w:r>
        <w:rPr>
          <w:rFonts w:hint="eastAsia" w:ascii="宋体" w:hAnsi="宋体" w:eastAsia="宋体" w:cs="宋体"/>
          <w:sz w:val="21"/>
          <w:szCs w:val="21"/>
        </w:rPr>
        <w:t>提供成绩为准。笔试综合成绩为各科成绩的算术平均值，占总成绩30%权重。</w:t>
      </w:r>
    </w:p>
    <w:p>
      <w:pPr>
        <w:numPr>
          <w:ilvl w:val="0"/>
          <w:numId w:val="1"/>
        </w:numPr>
        <w:rPr>
          <w:rFonts w:hint="eastAsia" w:ascii="宋体" w:hAnsi="宋体" w:eastAsia="宋体" w:cs="宋体"/>
          <w:sz w:val="21"/>
          <w:szCs w:val="21"/>
        </w:rPr>
      </w:pPr>
      <w:r>
        <w:rPr>
          <w:rFonts w:hint="eastAsia" w:ascii="宋体" w:hAnsi="宋体" w:eastAsia="宋体" w:cs="宋体"/>
          <w:sz w:val="21"/>
          <w:szCs w:val="21"/>
        </w:rPr>
        <w:t>论著发表：考核博士研究生入学以来的论文发表、专著出版情况，具体评分标准参照《中南财经政法研究生科研成果评定标准》。</w:t>
      </w:r>
    </w:p>
    <w:p>
      <w:pPr>
        <w:numPr>
          <w:ilvl w:val="0"/>
          <w:numId w:val="1"/>
        </w:numPr>
        <w:rPr>
          <w:rFonts w:hint="eastAsia" w:ascii="宋体" w:hAnsi="宋体" w:eastAsia="宋体" w:cs="宋体"/>
          <w:sz w:val="21"/>
          <w:szCs w:val="21"/>
        </w:rPr>
      </w:pPr>
      <w:r>
        <w:rPr>
          <w:rFonts w:hint="eastAsia" w:ascii="宋体" w:hAnsi="宋体" w:eastAsia="宋体" w:cs="宋体"/>
          <w:sz w:val="21"/>
          <w:szCs w:val="21"/>
        </w:rPr>
        <w:t>文献综述与研究报告撰写：考核博士研究生围绕论文选题开展的文献回顾工作和撰写的研究报告、尚未发表的论文。</w:t>
      </w:r>
    </w:p>
    <w:p>
      <w:pPr>
        <w:numPr>
          <w:ilvl w:val="0"/>
          <w:numId w:val="1"/>
        </w:numPr>
        <w:rPr>
          <w:rFonts w:hint="eastAsia" w:ascii="宋体" w:hAnsi="宋体" w:eastAsia="宋体" w:cs="宋体"/>
          <w:sz w:val="21"/>
          <w:szCs w:val="21"/>
        </w:rPr>
      </w:pPr>
      <w:r>
        <w:rPr>
          <w:rFonts w:hint="eastAsia" w:ascii="宋体" w:hAnsi="宋体" w:eastAsia="宋体" w:cs="宋体"/>
          <w:sz w:val="21"/>
          <w:szCs w:val="21"/>
        </w:rPr>
        <w:t>分析与解决问题能力：考核博士研究生运用辨证逻辑思维方式分析问题的能力，利用掌握的理论和方法解决具体研究问题的能力。</w:t>
      </w:r>
    </w:p>
    <w:p>
      <w:pPr>
        <w:numPr>
          <w:ilvl w:val="0"/>
          <w:numId w:val="1"/>
        </w:numPr>
        <w:rPr>
          <w:rFonts w:hint="eastAsia" w:ascii="宋体" w:hAnsi="宋体" w:eastAsia="宋体" w:cs="宋体"/>
          <w:sz w:val="21"/>
          <w:szCs w:val="21"/>
        </w:rPr>
      </w:pPr>
      <w:r>
        <w:rPr>
          <w:rFonts w:hint="eastAsia" w:ascii="宋体" w:hAnsi="宋体" w:eastAsia="宋体" w:cs="宋体"/>
          <w:sz w:val="21"/>
          <w:szCs w:val="21"/>
        </w:rPr>
        <w:t>未来研究设想的可行性：论证博士研究生对未来研究选题、研究框架、研究方法、研究数据所做计划的可行性。</w:t>
      </w:r>
    </w:p>
    <w:p>
      <w:pPr>
        <w:numPr>
          <w:ilvl w:val="0"/>
          <w:numId w:val="1"/>
        </w:numPr>
        <w:rPr>
          <w:rFonts w:hint="eastAsia" w:ascii="宋体" w:hAnsi="宋体" w:eastAsia="宋体" w:cs="宋体"/>
          <w:sz w:val="21"/>
          <w:szCs w:val="21"/>
        </w:rPr>
      </w:pPr>
      <w:r>
        <w:rPr>
          <w:rFonts w:hint="eastAsia" w:ascii="宋体" w:hAnsi="宋体" w:eastAsia="宋体" w:cs="宋体"/>
          <w:sz w:val="21"/>
          <w:szCs w:val="21"/>
        </w:rPr>
        <w:t>口头与书面表达能力：考核博士研究生口头语言和书面语言表达自己思想、观点和情感的能力</w:t>
      </w:r>
    </w:p>
    <w:p>
      <w:pPr>
        <w:numPr>
          <w:ilvl w:val="0"/>
          <w:numId w:val="1"/>
        </w:numPr>
        <w:rPr>
          <w:rFonts w:hint="eastAsia" w:ascii="宋体" w:hAnsi="宋体" w:eastAsia="宋体" w:cs="宋体"/>
          <w:sz w:val="21"/>
          <w:szCs w:val="21"/>
        </w:rPr>
      </w:pPr>
      <w:r>
        <w:rPr>
          <w:rFonts w:hint="eastAsia" w:ascii="宋体" w:hAnsi="宋体" w:eastAsia="宋体" w:cs="宋体"/>
          <w:color w:val="000000"/>
          <w:sz w:val="21"/>
          <w:szCs w:val="21"/>
        </w:rPr>
        <w:t>中期考核等级</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优秀</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85-100分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、合格</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60-84分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不合格</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60分以下</w:t>
      </w:r>
      <w:r>
        <w:rPr>
          <w:rFonts w:hint="eastAsia" w:ascii="宋体" w:hAnsi="宋体" w:eastAsia="宋体" w:cs="宋体"/>
          <w:color w:val="000000"/>
          <w:sz w:val="21"/>
          <w:szCs w:val="21"/>
          <w:lang w:eastAsia="zh-CN"/>
        </w:rPr>
        <w:t>）</w:t>
      </w:r>
    </w:p>
    <w:p>
      <w:pPr>
        <w:ind w:firstLine="210" w:firstLineChars="100"/>
        <w:rPr>
          <w:rFonts w:hint="eastAsia" w:ascii="宋体" w:hAnsi="宋体" w:eastAsia="宋体" w:cs="宋体"/>
          <w:sz w:val="21"/>
          <w:szCs w:val="21"/>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AF5DF5"/>
    <w:multiLevelType w:val="multilevel"/>
    <w:tmpl w:val="43AF5DF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D4525"/>
    <w:rsid w:val="11F37A1C"/>
    <w:rsid w:val="141A7667"/>
    <w:rsid w:val="177F1D1B"/>
    <w:rsid w:val="19F460EC"/>
    <w:rsid w:val="21C4248D"/>
    <w:rsid w:val="27EE3F5B"/>
    <w:rsid w:val="2BAE1154"/>
    <w:rsid w:val="2D133BC5"/>
    <w:rsid w:val="37C146C3"/>
    <w:rsid w:val="43240575"/>
    <w:rsid w:val="4B7F1221"/>
    <w:rsid w:val="517B5BE2"/>
    <w:rsid w:val="5ED91D61"/>
    <w:rsid w:val="618123F0"/>
    <w:rsid w:val="69B5327C"/>
    <w:rsid w:val="6E3E2327"/>
    <w:rsid w:val="6FBD2A17"/>
    <w:rsid w:val="70662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jocelyn</cp:lastModifiedBy>
  <dcterms:modified xsi:type="dcterms:W3CDTF">2021-11-15T14:30:25Z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1D5C01D9281041229B5910F0ED8F78B6</vt:lpwstr>
  </property>
</Properties>
</file>